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C2" w:rsidRPr="00562306" w:rsidRDefault="00AA74C2" w:rsidP="00F336BD">
      <w:pPr>
        <w:jc w:val="center"/>
        <w:rPr>
          <w:rFonts w:ascii="Arial" w:hAnsi="Arial" w:cs="Arial"/>
          <w:b/>
          <w:sz w:val="20"/>
          <w:szCs w:val="20"/>
        </w:rPr>
      </w:pPr>
    </w:p>
    <w:p w:rsidR="00AA74C2" w:rsidRPr="00562306" w:rsidRDefault="00AA74C2" w:rsidP="00F336BD">
      <w:pPr>
        <w:jc w:val="center"/>
        <w:rPr>
          <w:rFonts w:ascii="Arial" w:hAnsi="Arial" w:cs="Arial"/>
          <w:b/>
          <w:sz w:val="20"/>
          <w:szCs w:val="20"/>
        </w:rPr>
      </w:pPr>
    </w:p>
    <w:p w:rsidR="00AA74C2" w:rsidRPr="00562306" w:rsidRDefault="00AA74C2" w:rsidP="00F336BD">
      <w:pPr>
        <w:jc w:val="center"/>
        <w:rPr>
          <w:rFonts w:ascii="Arial" w:hAnsi="Arial" w:cs="Arial"/>
          <w:b/>
          <w:sz w:val="20"/>
          <w:szCs w:val="20"/>
        </w:rPr>
      </w:pPr>
    </w:p>
    <w:p w:rsidR="00AA74C2" w:rsidRPr="00562306" w:rsidRDefault="00AA74C2" w:rsidP="00F336BD">
      <w:pPr>
        <w:jc w:val="center"/>
        <w:rPr>
          <w:rFonts w:ascii="Arial" w:hAnsi="Arial" w:cs="Arial"/>
          <w:b/>
          <w:sz w:val="20"/>
          <w:szCs w:val="20"/>
        </w:rPr>
      </w:pPr>
    </w:p>
    <w:p w:rsidR="00AA74C2" w:rsidRPr="00562306" w:rsidRDefault="00AA74C2" w:rsidP="00F336BD">
      <w:pPr>
        <w:jc w:val="center"/>
        <w:rPr>
          <w:rFonts w:ascii="Arial" w:hAnsi="Arial" w:cs="Arial"/>
          <w:b/>
          <w:sz w:val="20"/>
          <w:szCs w:val="20"/>
        </w:rPr>
      </w:pPr>
    </w:p>
    <w:p w:rsidR="00AA74C2" w:rsidRPr="00562306" w:rsidRDefault="00AA74C2" w:rsidP="00F336BD">
      <w:pPr>
        <w:jc w:val="center"/>
        <w:rPr>
          <w:rFonts w:ascii="Arial" w:hAnsi="Arial" w:cs="Arial"/>
          <w:b/>
          <w:sz w:val="20"/>
          <w:szCs w:val="20"/>
        </w:rPr>
      </w:pPr>
    </w:p>
    <w:p w:rsidR="00D33F6F" w:rsidRPr="00562306" w:rsidRDefault="00F336BD" w:rsidP="00F336B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562306">
        <w:rPr>
          <w:rFonts w:ascii="Arial" w:hAnsi="Arial" w:cs="Arial"/>
          <w:b/>
          <w:sz w:val="20"/>
          <w:szCs w:val="20"/>
        </w:rPr>
        <w:t xml:space="preserve">Decision on interest rates on transaction </w:t>
      </w:r>
      <w:bookmarkEnd w:id="0"/>
      <w:r w:rsidRPr="00562306">
        <w:rPr>
          <w:rFonts w:ascii="Arial" w:hAnsi="Arial" w:cs="Arial"/>
          <w:b/>
          <w:sz w:val="20"/>
          <w:szCs w:val="20"/>
        </w:rPr>
        <w:t>– current accounts of residents</w:t>
      </w:r>
    </w:p>
    <w:p w:rsidR="00F336BD" w:rsidRPr="00562306" w:rsidRDefault="00F336B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F336BD" w:rsidRPr="00562306" w:rsidTr="00F336BD">
        <w:tc>
          <w:tcPr>
            <w:tcW w:w="704" w:type="dxa"/>
            <w:shd w:val="clear" w:color="auto" w:fill="0070C0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78" w:type="dxa"/>
            <w:shd w:val="clear" w:color="auto" w:fill="0070C0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Type of deposit or account</w:t>
            </w:r>
          </w:p>
        </w:tc>
        <w:tc>
          <w:tcPr>
            <w:tcW w:w="3680" w:type="dxa"/>
            <w:shd w:val="clear" w:color="auto" w:fill="0070C0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Annual interest rate</w:t>
            </w: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</w:rPr>
            </w:pPr>
            <w:r w:rsidRPr="005623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8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</w:rPr>
            </w:pPr>
            <w:r w:rsidRPr="00562306">
              <w:rPr>
                <w:rFonts w:ascii="Arial" w:hAnsi="Arial" w:cs="Arial"/>
                <w:b/>
              </w:rPr>
              <w:t>Transaction account of legal entities</w:t>
            </w: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F336BD" w:rsidRPr="00562306" w:rsidRDefault="00F33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RSD sight deposits (interest accrues based on average </w:t>
            </w:r>
            <w:r w:rsidR="00AA74C2" w:rsidRPr="00562306"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 balance)</w:t>
            </w: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F336BD" w:rsidRPr="00562306" w:rsidRDefault="00F336BD" w:rsidP="00F33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FX sight deposits (interest accrues based on average </w:t>
            </w:r>
            <w:r w:rsidR="00AA74C2" w:rsidRPr="00562306"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 balance)</w:t>
            </w: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36BD" w:rsidRPr="00562306" w:rsidRDefault="00F336BD" w:rsidP="00F336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</w:rPr>
            </w:pPr>
            <w:r w:rsidRPr="005623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</w:rPr>
            </w:pPr>
            <w:r w:rsidRPr="00562306">
              <w:rPr>
                <w:rFonts w:ascii="Arial" w:hAnsi="Arial" w:cs="Arial"/>
                <w:b/>
              </w:rPr>
              <w:t>Transaction accounts of entrepreneurs</w:t>
            </w: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F336BD" w:rsidRPr="00562306" w:rsidRDefault="00F336BD" w:rsidP="00F33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RSD sight deposits (interest accrues based on average </w:t>
            </w:r>
            <w:r w:rsidR="00AA74C2" w:rsidRPr="00562306"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 balance)</w:t>
            </w: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F336BD" w:rsidRPr="00562306" w:rsidTr="00F336BD">
        <w:tc>
          <w:tcPr>
            <w:tcW w:w="704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F336BD" w:rsidRPr="00562306" w:rsidRDefault="00F336BD" w:rsidP="00F33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FX sight deposits (interest accrues based on average </w:t>
            </w:r>
            <w:r w:rsidR="00AA74C2" w:rsidRPr="00562306">
              <w:rPr>
                <w:rFonts w:ascii="Arial" w:hAnsi="Arial" w:cs="Arial"/>
                <w:b/>
                <w:sz w:val="20"/>
                <w:szCs w:val="20"/>
              </w:rPr>
              <w:t>monthly</w:t>
            </w: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 balance)</w:t>
            </w:r>
          </w:p>
        </w:tc>
        <w:tc>
          <w:tcPr>
            <w:tcW w:w="3680" w:type="dxa"/>
          </w:tcPr>
          <w:p w:rsidR="00F336BD" w:rsidRPr="00562306" w:rsidRDefault="00F336BD" w:rsidP="00F33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</w:tbl>
    <w:p w:rsidR="00F336BD" w:rsidRPr="00562306" w:rsidRDefault="00F336BD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  <w:r w:rsidRPr="00562306">
        <w:rPr>
          <w:rFonts w:ascii="Arial" w:hAnsi="Arial" w:cs="Arial"/>
          <w:b/>
          <w:sz w:val="20"/>
          <w:szCs w:val="20"/>
        </w:rPr>
        <w:br w:type="page"/>
      </w: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372CE8" w:rsidRPr="00562306" w:rsidTr="00AD34C6">
        <w:tc>
          <w:tcPr>
            <w:tcW w:w="704" w:type="dxa"/>
            <w:shd w:val="clear" w:color="auto" w:fill="0070C0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678" w:type="dxa"/>
            <w:shd w:val="clear" w:color="auto" w:fill="0070C0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Type of deposit or account</w:t>
            </w:r>
          </w:p>
        </w:tc>
        <w:tc>
          <w:tcPr>
            <w:tcW w:w="3680" w:type="dxa"/>
            <w:shd w:val="clear" w:color="auto" w:fill="0070C0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Annual interest rate</w:t>
            </w: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</w:rPr>
            </w:pPr>
            <w:r w:rsidRPr="005623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8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</w:rPr>
            </w:pPr>
            <w:r w:rsidRPr="00562306">
              <w:rPr>
                <w:rFonts w:ascii="Arial" w:hAnsi="Arial" w:cs="Arial"/>
                <w:b/>
              </w:rPr>
              <w:t>Retail accounts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372CE8" w:rsidRPr="00562306" w:rsidRDefault="00372CE8" w:rsidP="00372C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Retail savings sight deposits and retail current accounts in RSD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372CE8" w:rsidRPr="00562306" w:rsidRDefault="00372CE8" w:rsidP="00AD3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Retail savings sight deposits in FX (gross interest rates)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4678" w:type="dxa"/>
          </w:tcPr>
          <w:p w:rsidR="00372CE8" w:rsidRPr="00562306" w:rsidRDefault="00372CE8" w:rsidP="00AD34C6">
            <w:pPr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EUR and USD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4678" w:type="dxa"/>
          </w:tcPr>
          <w:p w:rsidR="00372CE8" w:rsidRPr="00562306" w:rsidRDefault="00372CE8" w:rsidP="00372CE8">
            <w:pPr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Other currencies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72CE8" w:rsidRPr="00562306" w:rsidRDefault="00372CE8" w:rsidP="00372CE8">
            <w:pPr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The Bank’s Executive Board can approve, upon elaboration on the proposal by relevant departments, higher passive interest rates than interest rates specified herein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72CE8" w:rsidRPr="00562306" w:rsidRDefault="00372CE8" w:rsidP="00AD34C6">
            <w:pPr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When determining passive interest rates for SME, the primary document is the Product Catalogue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CE8" w:rsidRPr="00562306" w:rsidTr="00AD34C6">
        <w:tc>
          <w:tcPr>
            <w:tcW w:w="704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72CE8" w:rsidRPr="00562306" w:rsidRDefault="00372CE8" w:rsidP="00AD34C6">
            <w:pPr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Determining passive interest rate for Corporate Clients is possible only with the approval of director of the Treasury Division, director of the Corporate Division and/or the Bank’s Executive Board</w:t>
            </w:r>
          </w:p>
        </w:tc>
        <w:tc>
          <w:tcPr>
            <w:tcW w:w="3680" w:type="dxa"/>
          </w:tcPr>
          <w:p w:rsidR="00372CE8" w:rsidRPr="00562306" w:rsidRDefault="00372CE8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4C2" w:rsidRPr="00562306" w:rsidTr="00AD34C6">
        <w:tc>
          <w:tcPr>
            <w:tcW w:w="704" w:type="dxa"/>
          </w:tcPr>
          <w:p w:rsidR="00AA74C2" w:rsidRPr="00562306" w:rsidRDefault="00AA74C2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A74C2" w:rsidRPr="00562306" w:rsidRDefault="00AA74C2" w:rsidP="00AA74C2">
            <w:pPr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Interest rate defined for retail savings deposits stated above in item 1.2 shall apply to FX deposits of farmers and/or holders of farms who open FX sight account only as a natural person</w:t>
            </w:r>
          </w:p>
        </w:tc>
        <w:tc>
          <w:tcPr>
            <w:tcW w:w="3680" w:type="dxa"/>
          </w:tcPr>
          <w:p w:rsidR="00AA74C2" w:rsidRPr="00562306" w:rsidRDefault="00AA74C2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4C2" w:rsidRPr="00562306" w:rsidTr="00AD34C6">
        <w:tc>
          <w:tcPr>
            <w:tcW w:w="704" w:type="dxa"/>
          </w:tcPr>
          <w:p w:rsidR="00AA74C2" w:rsidRPr="00562306" w:rsidRDefault="00AA74C2" w:rsidP="00AD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306"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4678" w:type="dxa"/>
          </w:tcPr>
          <w:p w:rsidR="00AA74C2" w:rsidRPr="00562306" w:rsidRDefault="00AA74C2" w:rsidP="00AA74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2306">
              <w:rPr>
                <w:rFonts w:ascii="Arial" w:hAnsi="Arial" w:cs="Arial"/>
                <w:sz w:val="20"/>
                <w:szCs w:val="20"/>
              </w:rPr>
              <w:t>Unauthorised</w:t>
            </w:r>
            <w:proofErr w:type="spellEnd"/>
            <w:r w:rsidRPr="00562306">
              <w:rPr>
                <w:rFonts w:ascii="Arial" w:hAnsi="Arial" w:cs="Arial"/>
                <w:sz w:val="20"/>
                <w:szCs w:val="20"/>
              </w:rPr>
              <w:t xml:space="preserve"> overdraft on retail current account (annual interest rate, fixed)</w:t>
            </w:r>
          </w:p>
        </w:tc>
        <w:tc>
          <w:tcPr>
            <w:tcW w:w="3680" w:type="dxa"/>
          </w:tcPr>
          <w:p w:rsidR="00AA74C2" w:rsidRPr="00562306" w:rsidRDefault="00AA74C2" w:rsidP="00AD3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306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</w:tbl>
    <w:p w:rsidR="00AA74C2" w:rsidRPr="00562306" w:rsidRDefault="00AA74C2" w:rsidP="00AA74C2">
      <w:pPr>
        <w:jc w:val="center"/>
        <w:rPr>
          <w:rFonts w:ascii="Arial" w:hAnsi="Arial" w:cs="Arial"/>
          <w:b/>
          <w:sz w:val="20"/>
          <w:szCs w:val="20"/>
        </w:rPr>
      </w:pPr>
    </w:p>
    <w:p w:rsidR="00372CE8" w:rsidRPr="00562306" w:rsidRDefault="00AA74C2" w:rsidP="00AA74C2">
      <w:pPr>
        <w:jc w:val="center"/>
        <w:rPr>
          <w:rFonts w:ascii="Arial" w:hAnsi="Arial" w:cs="Arial"/>
          <w:b/>
          <w:sz w:val="20"/>
          <w:szCs w:val="20"/>
        </w:rPr>
      </w:pPr>
      <w:r w:rsidRPr="00562306">
        <w:rPr>
          <w:rFonts w:ascii="Arial" w:hAnsi="Arial" w:cs="Arial"/>
          <w:b/>
          <w:sz w:val="20"/>
          <w:szCs w:val="20"/>
        </w:rPr>
        <w:t>This Decision has been in force since 28.02.2017</w:t>
      </w:r>
    </w:p>
    <w:p w:rsidR="00AA74C2" w:rsidRPr="00562306" w:rsidRDefault="00AA74C2">
      <w:pPr>
        <w:rPr>
          <w:rFonts w:ascii="Arial" w:hAnsi="Arial" w:cs="Arial"/>
          <w:b/>
          <w:sz w:val="20"/>
          <w:szCs w:val="20"/>
        </w:rPr>
      </w:pPr>
    </w:p>
    <w:p w:rsidR="00AA74C2" w:rsidRPr="00562306" w:rsidRDefault="00AA74C2">
      <w:pPr>
        <w:rPr>
          <w:rFonts w:ascii="Arial" w:hAnsi="Arial" w:cs="Arial"/>
          <w:b/>
          <w:sz w:val="20"/>
          <w:szCs w:val="20"/>
        </w:rPr>
      </w:pPr>
    </w:p>
    <w:p w:rsidR="00372CE8" w:rsidRPr="00562306" w:rsidRDefault="00372CE8">
      <w:pPr>
        <w:rPr>
          <w:rFonts w:ascii="Arial" w:hAnsi="Arial" w:cs="Arial"/>
          <w:b/>
          <w:sz w:val="20"/>
          <w:szCs w:val="20"/>
        </w:rPr>
      </w:pPr>
    </w:p>
    <w:sectPr w:rsidR="00372CE8" w:rsidRPr="0056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9"/>
    <w:rsid w:val="00372CE8"/>
    <w:rsid w:val="004F57D9"/>
    <w:rsid w:val="00562306"/>
    <w:rsid w:val="008E3495"/>
    <w:rsid w:val="00AA74C2"/>
    <w:rsid w:val="00C57979"/>
    <w:rsid w:val="00D33F6F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4D8B5C-962B-48A7-B6B0-CACBA691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4F59-5AAE-440B-AC7C-FE4B1E4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Mirjana Ilić</cp:lastModifiedBy>
  <cp:revision>2</cp:revision>
  <dcterms:created xsi:type="dcterms:W3CDTF">2022-06-08T14:28:00Z</dcterms:created>
  <dcterms:modified xsi:type="dcterms:W3CDTF">2022-06-08T14:28:00Z</dcterms:modified>
</cp:coreProperties>
</file>